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darbo grafikas sudarytas vadovaujantis Lietuvos Respublikos darbo kodeksu ir kitais galiojančiais teisės aktais. Grafikas turi būti patvirtintas darbdavio atstovo ir darbuotojo ne vėliau kaip prieš 7 (septynias) kalendorines dienas iki jo įsigaliojimo.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Grafikas galioja nuo: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valandų norma mėnesiui: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Planuojamas faktinis darbo valandų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 savaitė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 savaitė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 savaitė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 savaitė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 savaitė (jei taikoma)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Darbo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dirbtų valandų per ataskaitinį laikotarpį: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Viršvalandžių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Mokamų nedirbtų valandų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Neapmokamų nedirbtų valandų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* Žymėjimai: „R“ – poilsio diena; „Š“ – šventinė diena; „L“ – atostogos; „N“ – nedarbingumas; „K“ – komandiruotė.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Grafiką parengė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susipažino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