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Dokumento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Visas juridinio asmens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Atstovas (vardas, pavardė,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/ gimimo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Gyvenamoji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Užimamos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data ir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Vadovaudamasis Lietuvos Respublikos darbo kodekso 36 straipsnio 4 dalimi darbdavys gali vienašališkai nutraukti darbo sutartį bandomuoju laikotarpiu, įspėjęs darbuotoją prieš 3 kalendorines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Šiuo dokumentu Darbdavys informuoja Darbuotoją, kad darbo sutartis bus nutraukta bandomuoju laikotarpiu, nes Darbuotojo darbo rezultatai neatitinka keliamų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Nutraukimo data (paskutinė darbo diena):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Darbuotojas privalo perduoti visus su pareigomis susijusius dokumentus, raktus, įrangą ir kitą turtą.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2. Parengti ir perduoti nebaigtų darbų ataskaitas ir instrukcijas perėmimui.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3. Dalyvauti galutiniame darbo laiko ir atlygio apskaičiavime.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Darbdavys įsipareigoja atsiskaityti su Darbuotoju paskutinę jo darbo dieną: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– Išmokėti darbo užmokestį už faktiškai dirbtą laiką;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– Sumokėti kompensaciją už nepanaudotas kasmetines atostogas;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– Išduoti pažymą apie darbo užmokestį ir kitas privalomas pažymas pagal Darbo kodeksą.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Įspėjimas įteiktas Darbuotojui asmeniškai (pasirašytinai) / išsiųstas registruotu laišku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 įspėjimu susipažinau ir jo kopiją gavau.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Darbo sutarties kopija.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2. Darbuotojo pareigų aprašymas.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3. Kiti dokumentai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Įspėjimas turi būti įteiktas ne vėliau kaip prieš 3 kalendorines dienas iki numatomos atleidimo datos. Neįteikus įspėjimo tinkamai arba nesilaikius šio termino darbo sutarties nutraukimas gali būti pripažintas neteisėtu.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