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Ši konfidencialumo sutartis (toliau – „Sutartis“) sudaryta</w:t>
      </w:r>
      <w:r>
        <w:t xml:space="preserve"> </w:t>
      </w:r>
      <w:r>
        <w:rPr>
          <w:rFonts w:ascii="Times New Roman" w:hAnsi="Times New Roman"/>
          <w:u w:val="single"/>
        </w:rPr>
        <w:t>_________________________</w:t>
      </w:r>
      <w:r>
        <w:t xml:space="preserve"> </w:t>
      </w:r>
      <w:r>
        <w:rPr>
          <w:rFonts w:ascii="Times New Roman" w:hAnsi="Times New Roman"/>
          <w:sz w:val="22"/>
        </w:rPr>
        <w:t>,</w:t>
      </w:r>
      <w:r>
        <w:t xml:space="preserve"> </w:t>
      </w:r>
      <w:r>
        <w:rPr>
          <w:rFonts w:ascii="Times New Roman" w:hAnsi="Times New Roman"/>
          <w:u w:val="single"/>
        </w:rPr>
        <w:t>_________________________</w:t>
      </w:r>
      <w:r>
        <w:t xml:space="preserve"> </w:t>
      </w:r>
      <w:r>
        <w:rPr>
          <w:rFonts w:ascii="Times New Roman" w:hAnsi="Times New Roman"/>
          <w:sz w:val="22"/>
        </w:rPr>
        <w:t>, tarp toliau nurodytų subjektų, kartu vadinamų „Šalys“, o atskirai – „Šalis“.</w:t>
      </w:r>
    </w:p>
    <w:p>
      <w:pPr>
        <w:spacing w:line="360" w:lineRule="auto" w:after="120"/>
      </w:pPr>
      <w:r>
        <w:rPr>
          <w:rFonts w:ascii="Times New Roman" w:hAnsi="Times New Roman"/>
          <w:sz w:val="22"/>
        </w:rPr>
        <w:t>1)</w:t>
      </w:r>
      <w:r>
        <w:t xml:space="preserve"> </w:t>
      </w:r>
      <w:r>
        <w:rPr>
          <w:rFonts w:ascii="Times New Roman" w:hAnsi="Times New Roman"/>
          <w:u w:val="single"/>
        </w:rPr>
        <w:t>_________________________</w:t>
      </w:r>
      <w:r>
        <w:t xml:space="preserve"> </w:t>
      </w:r>
      <w:r>
        <w:rPr>
          <w:rFonts w:ascii="Times New Roman" w:hAnsi="Times New Roman"/>
          <w:sz w:val="22"/>
        </w:rPr>
        <w:t>, juridinis asmuo, įsteigtas pagal</w:t>
      </w:r>
      <w:r>
        <w:t xml:space="preserve"> </w:t>
      </w:r>
      <w:r>
        <w:rPr>
          <w:rFonts w:ascii="Times New Roman" w:hAnsi="Times New Roman"/>
          <w:u w:val="single"/>
        </w:rPr>
        <w:t>_________________________</w:t>
      </w:r>
      <w:r>
        <w:t xml:space="preserve"> </w:t>
      </w:r>
      <w:r>
        <w:rPr>
          <w:rFonts w:ascii="Times New Roman" w:hAnsi="Times New Roman"/>
          <w:sz w:val="22"/>
        </w:rPr>
        <w:t>Respublikos teisę, juridinio asmens kodas</w:t>
      </w:r>
      <w:r>
        <w:t xml:space="preserve"> </w:t>
      </w:r>
      <w:r>
        <w:rPr>
          <w:rFonts w:ascii="Times New Roman" w:hAnsi="Times New Roman"/>
          <w:u w:val="single"/>
        </w:rPr>
        <w:t>_________________________</w:t>
      </w:r>
      <w:r>
        <w:t xml:space="preserve"> </w:t>
      </w:r>
      <w:r>
        <w:rPr>
          <w:rFonts w:ascii="Times New Roman" w:hAnsi="Times New Roman"/>
          <w:sz w:val="22"/>
        </w:rPr>
        <w:t>, buveinės adresas</w:t>
      </w:r>
      <w:r>
        <w:t xml:space="preserve"> </w:t>
      </w:r>
      <w:r>
        <w:rPr>
          <w:rFonts w:ascii="Times New Roman" w:hAnsi="Times New Roman"/>
          <w:u w:val="single"/>
        </w:rPr>
        <w:t>_________________________</w:t>
      </w:r>
      <w:r>
        <w:t xml:space="preserve"> </w:t>
      </w:r>
      <w:r>
        <w:rPr>
          <w:rFonts w:ascii="Times New Roman" w:hAnsi="Times New Roman"/>
          <w:sz w:val="22"/>
        </w:rPr>
        <w:t>, kurį teisėtai atstovauja</w:t>
      </w:r>
      <w:r>
        <w:t xml:space="preserve"> </w:t>
      </w:r>
      <w:r>
        <w:rPr>
          <w:rFonts w:ascii="Times New Roman" w:hAnsi="Times New Roman"/>
          <w:u w:val="single"/>
        </w:rPr>
        <w:t>_________________________</w:t>
      </w:r>
      <w:r>
        <w:t xml:space="preserve"> </w:t>
      </w:r>
      <w:r>
        <w:rPr>
          <w:rFonts w:ascii="Times New Roman" w:hAnsi="Times New Roman"/>
          <w:sz w:val="22"/>
        </w:rPr>
        <w:t>, pareigos</w:t>
      </w:r>
      <w:r>
        <w:t xml:space="preserve"> </w:t>
      </w:r>
      <w:r>
        <w:rPr>
          <w:rFonts w:ascii="Times New Roman" w:hAnsi="Times New Roman"/>
          <w:u w:val="single"/>
        </w:rPr>
        <w:t>_________________________</w:t>
      </w:r>
      <w:r>
        <w:t xml:space="preserve"> </w:t>
      </w:r>
      <w:r>
        <w:rPr>
          <w:rFonts w:ascii="Times New Roman" w:hAnsi="Times New Roman"/>
          <w:sz w:val="22"/>
        </w:rPr>
        <w:t>(toliau – „Šalis A“);</w:t>
      </w:r>
    </w:p>
    <w:p>
      <w:pPr>
        <w:spacing w:line="360" w:lineRule="auto" w:after="120"/>
      </w:pPr>
      <w:r>
        <w:rPr>
          <w:rFonts w:ascii="Times New Roman" w:hAnsi="Times New Roman"/>
          <w:sz w:val="22"/>
        </w:rPr>
        <w:t>2)</w:t>
      </w:r>
      <w:r>
        <w:t xml:space="preserve"> </w:t>
      </w:r>
      <w:r>
        <w:rPr>
          <w:rFonts w:ascii="Times New Roman" w:hAnsi="Times New Roman"/>
          <w:u w:val="single"/>
        </w:rPr>
        <w:t>_________________________</w:t>
      </w:r>
      <w:r>
        <w:t xml:space="preserve"> </w:t>
      </w:r>
      <w:r>
        <w:rPr>
          <w:rFonts w:ascii="Times New Roman" w:hAnsi="Times New Roman"/>
          <w:sz w:val="22"/>
        </w:rPr>
        <w:t>, juridinis asmuo, įsteigtas pagal</w:t>
      </w:r>
      <w:r>
        <w:t xml:space="preserve"> </w:t>
      </w:r>
      <w:r>
        <w:rPr>
          <w:rFonts w:ascii="Times New Roman" w:hAnsi="Times New Roman"/>
          <w:u w:val="single"/>
        </w:rPr>
        <w:t>_________________________</w:t>
      </w:r>
      <w:r>
        <w:t xml:space="preserve"> </w:t>
      </w:r>
      <w:r>
        <w:rPr>
          <w:rFonts w:ascii="Times New Roman" w:hAnsi="Times New Roman"/>
          <w:sz w:val="22"/>
        </w:rPr>
        <w:t>Respublikos teisę, juridinio asmens kodas</w:t>
      </w:r>
      <w:r>
        <w:t xml:space="preserve"> </w:t>
      </w:r>
      <w:r>
        <w:rPr>
          <w:rFonts w:ascii="Times New Roman" w:hAnsi="Times New Roman"/>
          <w:u w:val="single"/>
        </w:rPr>
        <w:t>_________________________</w:t>
      </w:r>
      <w:r>
        <w:t xml:space="preserve"> </w:t>
      </w:r>
      <w:r>
        <w:rPr>
          <w:rFonts w:ascii="Times New Roman" w:hAnsi="Times New Roman"/>
          <w:sz w:val="22"/>
        </w:rPr>
        <w:t>, buveinės adresas</w:t>
      </w:r>
      <w:r>
        <w:t xml:space="preserve"> </w:t>
      </w:r>
      <w:r>
        <w:rPr>
          <w:rFonts w:ascii="Times New Roman" w:hAnsi="Times New Roman"/>
          <w:u w:val="single"/>
        </w:rPr>
        <w:t>_________________________</w:t>
      </w:r>
      <w:r>
        <w:t xml:space="preserve"> </w:t>
      </w:r>
      <w:r>
        <w:rPr>
          <w:rFonts w:ascii="Times New Roman" w:hAnsi="Times New Roman"/>
          <w:sz w:val="22"/>
        </w:rPr>
        <w:t>, kurį teisėtai atstovauja</w:t>
      </w:r>
      <w:r>
        <w:t xml:space="preserve"> </w:t>
      </w:r>
      <w:r>
        <w:rPr>
          <w:rFonts w:ascii="Times New Roman" w:hAnsi="Times New Roman"/>
          <w:u w:val="single"/>
        </w:rPr>
        <w:t>_________________________</w:t>
      </w:r>
      <w:r>
        <w:t xml:space="preserve"> </w:t>
      </w:r>
      <w:r>
        <w:rPr>
          <w:rFonts w:ascii="Times New Roman" w:hAnsi="Times New Roman"/>
          <w:sz w:val="22"/>
        </w:rPr>
        <w:t>, pareigos</w:t>
      </w:r>
      <w:r>
        <w:t xml:space="preserve"> </w:t>
      </w:r>
      <w:r>
        <w:rPr>
          <w:rFonts w:ascii="Times New Roman" w:hAnsi="Times New Roman"/>
          <w:u w:val="single"/>
        </w:rPr>
        <w:t>_________________________</w:t>
      </w:r>
      <w:r>
        <w:t xml:space="preserve"> </w:t>
      </w:r>
      <w:r>
        <w:rPr>
          <w:rFonts w:ascii="Times New Roman" w:hAnsi="Times New Roman"/>
          <w:sz w:val="22"/>
        </w:rPr>
        <w:t>(toliau – „Šalis B“).</w:t>
      </w:r>
    </w:p>
    <w:p>
      <w:pPr>
        <w:spacing w:line="360" w:lineRule="auto" w:after="120"/>
      </w:pPr>
      <w:r>
        <w:rPr>
          <w:rFonts w:ascii="Times New Roman" w:hAnsi="Times New Roman"/>
          <w:sz w:val="22"/>
        </w:rPr>
        <w:t>Šalys sudaro šią Sutartį siekdamos apsaugoti konfidencialią informaciją, kuria ketina keistis, ir susitaria laikytis toliau nurodytų sąlygų.</w:t>
      </w:r>
    </w:p>
    <w:p>
      <w:pPr>
        <w:spacing w:line="360" w:lineRule="auto" w:after="120"/>
      </w:pPr>
      <w:r>
        <w:rPr>
          <w:rFonts w:ascii="Times New Roman" w:hAnsi="Times New Roman"/>
          <w:sz w:val="22"/>
        </w:rPr>
        <w:t>1.1. „Konfidenciali informacija“ – bet kokia raštu, žodžiu, elektronine ar kita forma pateikiama ar atskleidžiama informacija, įskaitant, bet neapsiribojant, techninius duomenis, technologijas, verslo, finansinius, teisinius ir rinkodaros planus, klientų duomenis, sutartis, išradimus, programinę įrangą, žinias bei kitus dokumentus, kuriuos Šalis pažymi kaip konfidencialius arba kurių konfidencialumas akivaizdus iš jų turinio ar atskleidimo aplinkybių.</w:t>
      </w:r>
    </w:p>
    <w:p>
      <w:pPr>
        <w:spacing w:line="360" w:lineRule="auto" w:after="120"/>
      </w:pPr>
      <w:r>
        <w:rPr>
          <w:rFonts w:ascii="Times New Roman" w:hAnsi="Times New Roman"/>
          <w:sz w:val="22"/>
        </w:rPr>
        <w:t>1.2. Terminai „įskaitant“, „pavyzdžiui“ ar panašūs žodžiai aiškinami kaip neapribojantys ir laikoma, kad po jų eina žodžiai „bet neapsiribojant“.</w:t>
      </w:r>
    </w:p>
    <w:p>
      <w:pPr>
        <w:spacing w:line="360" w:lineRule="auto" w:after="120"/>
      </w:pPr>
      <w:r>
        <w:rPr>
          <w:rFonts w:ascii="Times New Roman" w:hAnsi="Times New Roman"/>
          <w:sz w:val="22"/>
        </w:rPr>
        <w:t>1.3. Ši Sutartis aiškinama vadovaujantis Lietuvos Respublikos teisės aktais ir verslo praktika.</w:t>
      </w:r>
    </w:p>
    <w:p>
      <w:pPr>
        <w:spacing w:line="360" w:lineRule="auto" w:after="120"/>
      </w:pPr>
      <w:r>
        <w:rPr>
          <w:rFonts w:ascii="Times New Roman" w:hAnsi="Times New Roman"/>
          <w:sz w:val="22"/>
        </w:rPr>
        <w:t>2.1. Konfidencialia informacija laikoma bet kokia informacija, kurią viena Šalis (toliau – „Atskleidžiančioji šalis“) pateikia kitai Šaliai (toliau – „Gavėja“) šios Sutarties galiojimo metu.</w:t>
      </w:r>
    </w:p>
    <w:p>
      <w:pPr>
        <w:spacing w:line="360" w:lineRule="auto" w:after="120"/>
      </w:pPr>
      <w:r>
        <w:rPr>
          <w:rFonts w:ascii="Times New Roman" w:hAnsi="Times New Roman"/>
          <w:sz w:val="22"/>
        </w:rPr>
        <w:t>2.2. Konfidenciali informacija apima, bet neapsiriboja: (i) sutartimis ir susitarimais, (ii) finansinėmis ataskaitomis ir prognozėmis, (iii) tyrimų rezultatais, (iv) žmogiškųjų išteklių duomenimis, (v) programinio kodo fragmentais, (vi) bet kuriais duomenimis, surinktais vykdant bendradarbiavimą.</w:t>
      </w:r>
    </w:p>
    <w:p>
      <w:pPr>
        <w:spacing w:line="360" w:lineRule="auto" w:after="120"/>
      </w:pPr>
      <w:r>
        <w:rPr>
          <w:rFonts w:ascii="Times New Roman" w:hAnsi="Times New Roman"/>
          <w:sz w:val="22"/>
        </w:rPr>
        <w:t>2.3. Konfidencialia laikoma ir trečiųjų asmenų informacija, kurią Atskleidžiančioji šalis pateikia vykdydama jai taikomus konfidencialumo įsipareigojimus.</w:t>
      </w:r>
    </w:p>
    <w:p>
      <w:pPr>
        <w:spacing w:line="360" w:lineRule="auto" w:after="120"/>
      </w:pPr>
      <w:r>
        <w:rPr>
          <w:rFonts w:ascii="Times New Roman" w:hAnsi="Times New Roman"/>
          <w:sz w:val="22"/>
        </w:rPr>
        <w:t>3.1. Gavėja įsipareigoja:</w:t>
      </w:r>
    </w:p>
    <w:p>
      <w:pPr>
        <w:spacing w:line="360" w:lineRule="auto" w:after="120"/>
      </w:pPr>
      <w:r>
        <w:rPr>
          <w:rFonts w:ascii="Times New Roman" w:hAnsi="Times New Roman"/>
          <w:sz w:val="22"/>
        </w:rPr>
        <w:t>3.1.1. Konfidencialią informaciją naudoti tik Sutarties tikslams ir neatskleisti jos trečiosioms šalims be išankstinio rašytinio Atskleidžiančiosios šalies sutikimo;</w:t>
      </w:r>
    </w:p>
    <w:p>
      <w:pPr>
        <w:spacing w:line="360" w:lineRule="auto" w:after="120"/>
      </w:pPr>
      <w:r>
        <w:rPr>
          <w:rFonts w:ascii="Times New Roman" w:hAnsi="Times New Roman"/>
          <w:sz w:val="22"/>
        </w:rPr>
        <w:t>3.1.2. Užtikrinti, kad Konfidenciali informacija būtų saugoma ne žemesniu nei</w:t>
      </w:r>
      <w:r>
        <w:t xml:space="preserve"> </w:t>
      </w:r>
      <w:r>
        <w:rPr>
          <w:rFonts w:ascii="Times New Roman" w:hAnsi="Times New Roman"/>
          <w:u w:val="single"/>
        </w:rPr>
        <w:t>_________________________</w:t>
      </w:r>
      <w:r>
        <w:t xml:space="preserve"> </w:t>
      </w:r>
      <w:r>
        <w:rPr>
          <w:rFonts w:ascii="Times New Roman" w:hAnsi="Times New Roman"/>
          <w:sz w:val="22"/>
        </w:rPr>
        <w:t>saugumo lygiu, kurį Gavėja taiko savo pačios konfidencialiai informacijai, bet niekada ne žemesniu nei protingai pagrįstas;</w:t>
      </w:r>
    </w:p>
    <w:p>
      <w:pPr>
        <w:spacing w:line="360" w:lineRule="auto" w:after="120"/>
      </w:pPr>
      <w:r>
        <w:rPr>
          <w:rFonts w:ascii="Times New Roman" w:hAnsi="Times New Roman"/>
          <w:sz w:val="22"/>
        </w:rPr>
        <w:t>3.1.3. Prieigą prie Konfidencialios informacijos suteikti tik tiems darbuotojams, konsultantams ar kitiems susijusiems asmenims, kuriems ji būtina Sutarties tikslams, ir užtikrinti, kad jie laikytųsi šiame dokumente nustatytų konfidencialumo reikalavimų;</w:t>
      </w:r>
    </w:p>
    <w:p>
      <w:pPr>
        <w:spacing w:line="360" w:lineRule="auto" w:after="120"/>
      </w:pPr>
      <w:r>
        <w:rPr>
          <w:rFonts w:ascii="Times New Roman" w:hAnsi="Times New Roman"/>
          <w:sz w:val="22"/>
        </w:rPr>
        <w:t>3.1.4. Nedelsdama raštu informuoti Atskleidžiančiąją šalį apie bet kokį neteisėtą Konfidencialios informacijos atskleidimą ar praradimą ir imtis visų pagrįstų priemonių padariniams sumažinti;</w:t>
      </w:r>
    </w:p>
    <w:p>
      <w:pPr>
        <w:spacing w:line="360" w:lineRule="auto" w:after="120"/>
      </w:pPr>
      <w:r>
        <w:rPr>
          <w:rFonts w:ascii="Times New Roman" w:hAnsi="Times New Roman"/>
          <w:sz w:val="22"/>
        </w:rPr>
        <w:t>3.1.5. Gavus rašytinį Atskleidžiančiosios šalies nurodymą, grąžinti arba sunaikinti visus Konfidencialios informacijos egzempliorius, įskaitant darinius ir išvestinius dokumentus, vadovaujantis 10 skyriaus nuostatomis.</w:t>
      </w:r>
    </w:p>
    <w:p>
      <w:pPr>
        <w:spacing w:line="360" w:lineRule="auto" w:after="120"/>
      </w:pPr>
      <w:r>
        <w:rPr>
          <w:rFonts w:ascii="Times New Roman" w:hAnsi="Times New Roman"/>
          <w:sz w:val="22"/>
        </w:rPr>
        <w:t>4.1. Šioje Sutartyje nustatyti apribojimai netaikomi informacijai, kuri:</w:t>
      </w:r>
    </w:p>
    <w:p>
      <w:pPr>
        <w:spacing w:line="360" w:lineRule="auto" w:after="120"/>
      </w:pPr>
      <w:r>
        <w:rPr>
          <w:rFonts w:ascii="Times New Roman" w:hAnsi="Times New Roman"/>
          <w:sz w:val="22"/>
        </w:rPr>
        <w:t>4.1.1. Atskleidimo momentu jau buvo viešai prieinama arba vėliau tapo viešai prieinama nepažeidus šios Sutarties;</w:t>
      </w:r>
    </w:p>
    <w:p>
      <w:pPr>
        <w:spacing w:line="360" w:lineRule="auto" w:after="120"/>
      </w:pPr>
      <w:r>
        <w:rPr>
          <w:rFonts w:ascii="Times New Roman" w:hAnsi="Times New Roman"/>
          <w:sz w:val="22"/>
        </w:rPr>
        <w:t>4.1.2. Gavėja teisėtai gavo iš trečiosios šalies be konfidencialumo apribojimų, nepažeidusi jokios pareigos Atskleidžiančiajai šaliai;</w:t>
      </w:r>
    </w:p>
    <w:p>
      <w:pPr>
        <w:spacing w:line="360" w:lineRule="auto" w:after="120"/>
      </w:pPr>
      <w:r>
        <w:rPr>
          <w:rFonts w:ascii="Times New Roman" w:hAnsi="Times New Roman"/>
          <w:sz w:val="22"/>
        </w:rPr>
        <w:t>4.1.3. Gavėja nepriklausomai sukūrė nedalyvaudama Konfidencialios informacijos atskleidimo procese ir nenaudodama jos;</w:t>
      </w:r>
    </w:p>
    <w:p>
      <w:pPr>
        <w:spacing w:line="360" w:lineRule="auto" w:after="120"/>
      </w:pPr>
      <w:r>
        <w:rPr>
          <w:rFonts w:ascii="Times New Roman" w:hAnsi="Times New Roman"/>
          <w:sz w:val="22"/>
        </w:rPr>
        <w:t>4.1.4. Privalomai turi būti atskleista pagal taikytinus įstatymus, teismo ar valstybinės institucijos reikalavimą, tačiau tik tokia apimtimi, kuri būtina, ir, kai įmanoma, iš anksto apie tai informavus Atskleidžiančiąją šalį, kad ši galėtų ginti savo interesus.</w:t>
      </w:r>
    </w:p>
    <w:p>
      <w:pPr>
        <w:spacing w:line="360" w:lineRule="auto" w:after="120"/>
      </w:pPr>
      <w:r>
        <w:rPr>
          <w:rFonts w:ascii="Times New Roman" w:hAnsi="Times New Roman"/>
          <w:sz w:val="22"/>
        </w:rPr>
        <w:t>5.1. Visa Konfidenciali informacija lieka Atskleidžiančiosios šalies nuosavybė. Ši Sutartis Gavėjai nesuteikia jokių nuosavybės teisių, licencijų ar panašių teisių į Konfidencialią informaciją, išskyrus teisę ją naudoti Sutarties tikslams.</w:t>
      </w:r>
    </w:p>
    <w:p>
      <w:pPr>
        <w:spacing w:line="360" w:lineRule="auto" w:after="120"/>
      </w:pPr>
      <w:r>
        <w:rPr>
          <w:rFonts w:ascii="Times New Roman" w:hAnsi="Times New Roman"/>
          <w:sz w:val="22"/>
        </w:rPr>
        <w:t>6.1. Gavėja Konfidencialią informaciją naudos tik tam, kad įvertintų, sudarytų ar įvykdytų</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6.2. Bet koks Konfidencialios informacijos naudojimas už šiame dokumente nustatytų ribų laikomas Sutarties pažeidimu.</w:t>
      </w:r>
    </w:p>
    <w:p>
      <w:pPr>
        <w:spacing w:line="360" w:lineRule="auto" w:after="120"/>
      </w:pPr>
      <w:r>
        <w:rPr>
          <w:rFonts w:ascii="Times New Roman" w:hAnsi="Times New Roman"/>
          <w:sz w:val="22"/>
        </w:rPr>
        <w:t>7.1. Gavėja privalo atlyginti Atskleidžiančiajai šaliai visus tiesioginius nuostolius, patirtus dėl Konfidencialios informacijos atskleidimo ar naudojimo pažeidžiant Sutarties nuostatas.</w:t>
      </w:r>
    </w:p>
    <w:p>
      <w:pPr>
        <w:spacing w:line="360" w:lineRule="auto" w:after="120"/>
      </w:pPr>
      <w:r>
        <w:rPr>
          <w:rFonts w:ascii="Times New Roman" w:hAnsi="Times New Roman"/>
          <w:sz w:val="22"/>
        </w:rPr>
        <w:t>7.2. Jei nuostolių dydį nustatyti sudėtinga, Šalys susitaria, kad Atskleidžiančiajai šaliai gali būti sumokėta sutarta netesybų suma –</w:t>
      </w:r>
      <w:r>
        <w:t xml:space="preserve"> </w:t>
      </w:r>
      <w:r>
        <w:rPr>
          <w:rFonts w:ascii="Times New Roman" w:hAnsi="Times New Roman"/>
          <w:u w:val="single"/>
        </w:rPr>
        <w:t>_________________________</w:t>
      </w:r>
      <w:r>
        <w:t xml:space="preserve"> </w:t>
      </w:r>
      <w:r>
        <w:rPr>
          <w:rFonts w:ascii="Times New Roman" w:hAnsi="Times New Roman"/>
          <w:sz w:val="22"/>
        </w:rPr>
        <w:t>eurų už kiekvieną pažeidimą, nepažeidžiant teisės reikalauti didesnės žalos atlyginimo, jeigu reali žala viršija netesybas.</w:t>
      </w:r>
    </w:p>
    <w:p>
      <w:pPr>
        <w:spacing w:line="360" w:lineRule="auto" w:after="120"/>
      </w:pPr>
      <w:r>
        <w:rPr>
          <w:rFonts w:ascii="Times New Roman" w:hAnsi="Times New Roman"/>
          <w:sz w:val="22"/>
        </w:rPr>
        <w:t>8.1. Ši Sutartis įsigalioja nuo jos pasirašymo ir galioja iki</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8.2. Konfidencialumo įsipareigojimai galioja</w:t>
      </w:r>
      <w:r>
        <w:t xml:space="preserve"> </w:t>
      </w:r>
      <w:r>
        <w:rPr>
          <w:rFonts w:ascii="Times New Roman" w:hAnsi="Times New Roman"/>
          <w:u w:val="single"/>
        </w:rPr>
        <w:t>_________________________</w:t>
      </w:r>
      <w:r>
        <w:t xml:space="preserve"> </w:t>
      </w:r>
      <w:r>
        <w:rPr>
          <w:rFonts w:ascii="Times New Roman" w:hAnsi="Times New Roman"/>
          <w:sz w:val="22"/>
        </w:rPr>
        <w:t>metus po Sutarties pasibaigimo ar nutraukimo, nepriklausomai nuo priežasties.</w:t>
      </w:r>
    </w:p>
    <w:p>
      <w:pPr>
        <w:spacing w:line="360" w:lineRule="auto" w:after="120"/>
      </w:pPr>
      <w:r>
        <w:rPr>
          <w:rFonts w:ascii="Times New Roman" w:hAnsi="Times New Roman"/>
          <w:sz w:val="22"/>
        </w:rPr>
        <w:t>9.1. Kiekviena Šalis gali nutraukti šią Sutartį raštu įspėjusi kitą Šalį prieš</w:t>
      </w:r>
      <w:r>
        <w:t xml:space="preserve"> </w:t>
      </w:r>
      <w:r>
        <w:rPr>
          <w:rFonts w:ascii="Times New Roman" w:hAnsi="Times New Roman"/>
          <w:u w:val="single"/>
        </w:rPr>
        <w:t>_________________________</w:t>
      </w:r>
      <w:r>
        <w:t xml:space="preserve"> </w:t>
      </w:r>
      <w:r>
        <w:rPr>
          <w:rFonts w:ascii="Times New Roman" w:hAnsi="Times New Roman"/>
          <w:sz w:val="22"/>
        </w:rPr>
        <w:t>kalendorines dienas.</w:t>
      </w:r>
    </w:p>
    <w:p>
      <w:pPr>
        <w:spacing w:line="360" w:lineRule="auto" w:after="120"/>
      </w:pPr>
      <w:r>
        <w:rPr>
          <w:rFonts w:ascii="Times New Roman" w:hAnsi="Times New Roman"/>
          <w:sz w:val="22"/>
        </w:rPr>
        <w:t>9.2. Nutraukimas neatleidžia Šalių nuo pareigų, atsiradusių iki nutraukimo, įskaitant konfidencialumo įsipareigojimus.</w:t>
      </w:r>
    </w:p>
    <w:p>
      <w:pPr>
        <w:spacing w:line="360" w:lineRule="auto" w:after="120"/>
      </w:pPr>
      <w:r>
        <w:rPr>
          <w:rFonts w:ascii="Times New Roman" w:hAnsi="Times New Roman"/>
          <w:sz w:val="22"/>
        </w:rPr>
        <w:t>10.1. Pasibaigus ar nutraukus Sutartį, Gavėja per</w:t>
      </w:r>
      <w:r>
        <w:t xml:space="preserve"> </w:t>
      </w:r>
      <w:r>
        <w:rPr>
          <w:rFonts w:ascii="Times New Roman" w:hAnsi="Times New Roman"/>
          <w:u w:val="single"/>
        </w:rPr>
        <w:t>_________________________</w:t>
      </w:r>
      <w:r>
        <w:t xml:space="preserve"> </w:t>
      </w:r>
      <w:r>
        <w:rPr>
          <w:rFonts w:ascii="Times New Roman" w:hAnsi="Times New Roman"/>
          <w:sz w:val="22"/>
        </w:rPr>
        <w:t>kalendorines dienas privalo grąžinti Atskleidžiančiajai šaliai visus Konfidencialios informacijos egzempliorius arba juos visiškai sunaikinti, jei taip nurodyta raštu.</w:t>
      </w:r>
    </w:p>
    <w:p>
      <w:pPr>
        <w:spacing w:line="360" w:lineRule="auto" w:after="120"/>
      </w:pPr>
      <w:r>
        <w:rPr>
          <w:rFonts w:ascii="Times New Roman" w:hAnsi="Times New Roman"/>
          <w:sz w:val="22"/>
        </w:rPr>
        <w:t>10.2. Įvykdžiusi grąžinimą ar sunaikinimą, Gavėja raštu patvirtina, kad nei ji, nei jos darbuotojai ar konsultantai nebeturi Konfidencialios informacijos kopijų.</w:t>
      </w:r>
    </w:p>
    <w:p>
      <w:pPr>
        <w:spacing w:line="360" w:lineRule="auto" w:after="120"/>
      </w:pPr>
      <w:r>
        <w:rPr>
          <w:rFonts w:ascii="Times New Roman" w:hAnsi="Times New Roman"/>
          <w:sz w:val="22"/>
        </w:rPr>
        <w:t>11.1. Šalys neatsako už įsipareigojimų neįvykdymą, jei to priežastis yra nenugalimos jėgos aplinkybės („force majeure“), kurios pagal Lietuvos Respublikos teisę pripažįstamos nenugalima jėga.</w:t>
      </w:r>
    </w:p>
    <w:p>
      <w:pPr>
        <w:spacing w:line="360" w:lineRule="auto" w:after="120"/>
      </w:pPr>
      <w:r>
        <w:rPr>
          <w:rFonts w:ascii="Times New Roman" w:hAnsi="Times New Roman"/>
          <w:sz w:val="22"/>
        </w:rPr>
        <w:t>11.2. Šalis, negalinti vykdyti įsipareigojimų dėl force majeure, privalo nedelsdama, bet ne vėliau kaip per</w:t>
      </w:r>
      <w:r>
        <w:t xml:space="preserve"> </w:t>
      </w:r>
      <w:r>
        <w:rPr>
          <w:rFonts w:ascii="Times New Roman" w:hAnsi="Times New Roman"/>
          <w:u w:val="single"/>
        </w:rPr>
        <w:t>_________________________</w:t>
      </w:r>
      <w:r>
        <w:t xml:space="preserve"> </w:t>
      </w:r>
      <w:r>
        <w:rPr>
          <w:rFonts w:ascii="Times New Roman" w:hAnsi="Times New Roman"/>
          <w:sz w:val="22"/>
        </w:rPr>
        <w:t>valandas, informuoti kitą Šalį raštu, nurodydama aplinkybių pobūdį, trukmę ir numatomą poveikį.</w:t>
      </w:r>
    </w:p>
    <w:p>
      <w:pPr>
        <w:spacing w:line="360" w:lineRule="auto" w:after="120"/>
      </w:pPr>
      <w:r>
        <w:rPr>
          <w:rFonts w:ascii="Times New Roman" w:hAnsi="Times New Roman"/>
          <w:sz w:val="22"/>
        </w:rPr>
        <w:t>12.1. Šiai Sutarčiai taikoma ir ji aiškinama pagal Lietuvos Respublikos teisę.</w:t>
      </w:r>
    </w:p>
    <w:p>
      <w:pPr>
        <w:spacing w:line="360" w:lineRule="auto" w:after="120"/>
      </w:pPr>
      <w:r>
        <w:rPr>
          <w:rFonts w:ascii="Times New Roman" w:hAnsi="Times New Roman"/>
          <w:sz w:val="22"/>
        </w:rPr>
        <w:t>12.2. Visi ginčai, kylantys iš šios Sutarties ar su ja susiję, sprendžiami derybomis. Nepavykus susitarti per</w:t>
      </w:r>
      <w:r>
        <w:t xml:space="preserve"> </w:t>
      </w:r>
      <w:r>
        <w:rPr>
          <w:rFonts w:ascii="Times New Roman" w:hAnsi="Times New Roman"/>
          <w:u w:val="single"/>
        </w:rPr>
        <w:t>_________________________</w:t>
      </w:r>
      <w:r>
        <w:t xml:space="preserve"> </w:t>
      </w:r>
      <w:r>
        <w:rPr>
          <w:rFonts w:ascii="Times New Roman" w:hAnsi="Times New Roman"/>
          <w:sz w:val="22"/>
        </w:rPr>
        <w:t>kalendorines dienas nuo ginčo pradžios, ginčas galutinai sprendžiamas</w:t>
      </w:r>
      <w:r>
        <w:t xml:space="preserve"> </w:t>
      </w:r>
      <w:r>
        <w:rPr>
          <w:rFonts w:ascii="Times New Roman" w:hAnsi="Times New Roman"/>
          <w:u w:val="single"/>
        </w:rPr>
        <w:t>_________________________</w:t>
      </w:r>
      <w:r>
        <w:t xml:space="preserve"> </w:t>
      </w:r>
      <w:r>
        <w:rPr>
          <w:rFonts w:ascii="Times New Roman" w:hAnsi="Times New Roman"/>
          <w:sz w:val="22"/>
        </w:rPr>
        <w:t>pagal jos taisykles.</w:t>
      </w:r>
    </w:p>
    <w:p>
      <w:pPr>
        <w:spacing w:line="360" w:lineRule="auto" w:after="120"/>
      </w:pPr>
      <w:r>
        <w:rPr>
          <w:rFonts w:ascii="Times New Roman" w:hAnsi="Times New Roman"/>
          <w:sz w:val="22"/>
        </w:rPr>
        <w:t>13.1. Bet kokie Sutarties pakeitimai ar papildymai galioja tik tada, kai pateikiami raštu ir pasirašomi abiejų Šalių.</w:t>
      </w:r>
    </w:p>
    <w:p>
      <w:pPr>
        <w:spacing w:line="360" w:lineRule="auto" w:after="120"/>
      </w:pPr>
      <w:r>
        <w:rPr>
          <w:rFonts w:ascii="Times New Roman" w:hAnsi="Times New Roman"/>
          <w:sz w:val="22"/>
        </w:rPr>
        <w:t>13.2. Jeigu kuri nors Sutarties nuostata pripažįstama negaliojančia ar neįgyvendinama, tai nedaro įtakos kitų nuostatų galiojimui; tokia nuostata pakeičiama teisėta, ekonomiškai artimiausia Šalių ketinimams.</w:t>
      </w:r>
    </w:p>
    <w:p>
      <w:pPr>
        <w:spacing w:line="360" w:lineRule="auto" w:after="120"/>
      </w:pPr>
      <w:r>
        <w:rPr>
          <w:rFonts w:ascii="Times New Roman" w:hAnsi="Times New Roman"/>
          <w:sz w:val="22"/>
        </w:rPr>
        <w:t>13.3. Ši Sutartis sudaryta</w:t>
      </w:r>
      <w:r>
        <w:t xml:space="preserve"> </w:t>
      </w:r>
      <w:r>
        <w:rPr>
          <w:rFonts w:ascii="Times New Roman" w:hAnsi="Times New Roman"/>
          <w:u w:val="single"/>
        </w:rPr>
        <w:t>_________________________</w:t>
      </w:r>
      <w:r>
        <w:t xml:space="preserve"> </w:t>
      </w:r>
      <w:r>
        <w:rPr>
          <w:rFonts w:ascii="Times New Roman" w:hAnsi="Times New Roman"/>
          <w:sz w:val="22"/>
        </w:rPr>
        <w:t>egzemplioriais lietuvių kalba, turinčiais vienodą juridinę galią.</w:t>
      </w:r>
    </w:p>
    <w:p>
      <w:pPr>
        <w:spacing w:line="360" w:lineRule="auto" w:after="120"/>
      </w:pPr>
      <w:r>
        <w:rPr>
          <w:rFonts w:ascii="Times New Roman" w:hAnsi="Times New Roman"/>
          <w:sz w:val="22"/>
        </w:rPr>
        <w:t>14.1. Visi pranešimai pagal šią Sutartį teikiami raštu registruotu paštu, kurjeriu arba el. paštu:</w:t>
      </w:r>
    </w:p>
    <w:p>
      <w:pPr>
        <w:spacing w:line="360" w:lineRule="auto" w:after="120"/>
      </w:pPr>
      <w:r>
        <w:rPr>
          <w:rFonts w:ascii="Times New Roman" w:hAnsi="Times New Roman"/>
          <w:sz w:val="22"/>
        </w:rPr>
        <w:t>Šalis A:</w:t>
      </w:r>
      <w:r>
        <w:t xml:space="preserve"> </w:t>
      </w:r>
      <w:r>
        <w:rPr>
          <w:rFonts w:ascii="Times New Roman" w:hAnsi="Times New Roman"/>
          <w:u w:val="single"/>
        </w:rPr>
        <w:t>_________________________</w:t>
      </w:r>
      <w:r>
        <w:t xml:space="preserve"> </w:t>
      </w:r>
      <w:r>
        <w:rPr>
          <w:rFonts w:ascii="Times New Roman" w:hAnsi="Times New Roman"/>
          <w:sz w:val="22"/>
        </w:rPr>
        <w:t>; juridinis adresas:</w:t>
      </w:r>
      <w:r>
        <w:t xml:space="preserve"> </w:t>
      </w:r>
      <w:r>
        <w:rPr>
          <w:rFonts w:ascii="Times New Roman" w:hAnsi="Times New Roman"/>
          <w:u w:val="single"/>
        </w:rPr>
        <w:t>_________________________</w:t>
      </w:r>
      <w:r>
        <w:t xml:space="preserve"> </w:t>
      </w:r>
      <w:r>
        <w:rPr>
          <w:rFonts w:ascii="Times New Roman" w:hAnsi="Times New Roman"/>
          <w:sz w:val="22"/>
        </w:rPr>
        <w:t>; tel.</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Šalis B:</w:t>
      </w:r>
      <w:r>
        <w:t xml:space="preserve"> </w:t>
      </w:r>
      <w:r>
        <w:rPr>
          <w:rFonts w:ascii="Times New Roman" w:hAnsi="Times New Roman"/>
          <w:u w:val="single"/>
        </w:rPr>
        <w:t>_________________________</w:t>
      </w:r>
      <w:r>
        <w:t xml:space="preserve"> </w:t>
      </w:r>
      <w:r>
        <w:rPr>
          <w:rFonts w:ascii="Times New Roman" w:hAnsi="Times New Roman"/>
          <w:sz w:val="22"/>
        </w:rPr>
        <w:t>; juridinis adresas:</w:t>
      </w:r>
      <w:r>
        <w:t xml:space="preserve"> </w:t>
      </w:r>
      <w:r>
        <w:rPr>
          <w:rFonts w:ascii="Times New Roman" w:hAnsi="Times New Roman"/>
          <w:u w:val="single"/>
        </w:rPr>
        <w:t>_________________________</w:t>
      </w:r>
      <w:r>
        <w:t xml:space="preserve"> </w:t>
      </w:r>
      <w:r>
        <w:rPr>
          <w:rFonts w:ascii="Times New Roman" w:hAnsi="Times New Roman"/>
          <w:sz w:val="22"/>
        </w:rPr>
        <w:t>; tel.</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14.2. Pranešimas laikomas gautu: (i) jei siųstas registruotu paštu – trečią (3) darbo dieną po išsiuntimo; (ii) jei pristatytas kurjeriu – pristatymo dieną; (iii) jei išsiųstas el. paštu – kai gavėjo serveris patvirtina gavimą arba kai gavėjas patvirtina laiško gavimą.</w:t>
      </w:r>
    </w:p>
    <w:p>
      <w:pPr>
        <w:spacing w:line="360" w:lineRule="auto" w:after="120"/>
      </w:pPr>
      <w:r>
        <w:rPr>
          <w:rFonts w:ascii="Times New Roman" w:hAnsi="Times New Roman"/>
          <w:sz w:val="22"/>
        </w:rPr>
        <w:t>Šalių atstovai, pasirašydami žemiau, patvirtina, kad perskaitė, suprato ir sutinka su visomis Sutarties sąlygomis.</w:t>
      </w:r>
    </w:p>
    <w:p>
      <w:pPr>
        <w:spacing w:line="360" w:lineRule="auto" w:after="120"/>
      </w:pPr>
      <w:r>
        <w:rPr>
          <w:rFonts w:ascii="Times New Roman" w:hAnsi="Times New Roman"/>
          <w:sz w:val="22"/>
        </w:rPr>
        <w:t>Šalis A: __________________________</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Šalis B: __________________________</w:t>
      </w:r>
      <w:r>
        <w:t xml:space="preserve"> </w:t>
      </w:r>
      <w:r>
        <w:rPr>
          <w:rFonts w:ascii="Times New Roman" w:hAnsi="Times New Roman"/>
          <w:u w:val="single"/>
        </w:rPr>
        <w:t>_________________________</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