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aiškinamasis raštas parengtas vadovaujantis Lietuvos Respublikos teisės aktais ir skirtas detaliai pristatyti ataskaitinio laikotarpio veiklos rezultatus, finansinę būklę ir reikšmingus įvykius.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Mažosios bendrijos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Registruotos 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Ataskaitinis 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Aiškinamojo rašto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 (vadovas):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Svarbiausi ataskaitinio laikotarpio įvykiai: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Produktų ir (ar) paslaugų portfelio pokyčiai: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Rinkos dalis ir tendencijos: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Konkurencinė aplinka: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Pardavimo pajamos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Savikaina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Bendrasis pelnas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sąnaudos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Pelnas (nuostolis) prieš mokesčius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Grynasis pelnas (nuostolis)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EBITDA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Likvidumo rodiklis: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Nuosavo kapitalo grąža (ROE) (%):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grąža (ROA) (%):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Rezultatų pokyčių priežastys: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Taikomi apskaitos standartai: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Apskaitos politikos pakeitimai: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Nusidėvėjimo ir amortizacijos metodai: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Atsargų vertinimo metodas: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Ilgalaikio turto perkainojimas: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Nematerialusis turtas: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Materialusis turtas: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Atsargos: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Pirkėjų skolos: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Grynųjų pinigų ir pinigų ekvivalentų likutis: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Nuosavas kapitalas: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Finansiniai įsipareigojimai: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Atidėjiniai ir kiti įsipareigojimai: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Kredito rizika: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Likvidumo rizika: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Palūkanų normos rizika: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Užsienio valiutų rizika: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reikšmingi rizikos veiksniai: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Reikšmingi įvykiai po ataskaitinės datos: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Numatomos investicijos: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Strateginiai tikslai artimiausiam laikotarpiui: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Prognozuojamos finansinės tendencijos: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Pelnas, skirtas paskirstymui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Planuojama dividendų politika: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Aplinkos apsaugos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Socialinės atsakomybės projektai: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Vidutinis darbo užmokestis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Mokymai ir kvalifikacijos kėlimas: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saugos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Vadovybė patvirtina, kad šiame aiškinamajame rašte pateikta informacija yra teisinga ir išsami: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Bendrijos vadovas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Apskaitą tvarkančio asmens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