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aiškinamasis raštas parengtas siekiant paaiškinti ir papildyti mažosios bendrijos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Bendrija) finansinių ataskaitų už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metus duomenis ir pateikti išsamią informaciją finansinių ataskaitų naudotojams.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Registruotos 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 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Veiklos pradžios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Finansinės atskaitomybės laikotarpis: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Darbuotojų skaičius ataskaitinio laikotarpio pabaigoje: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Ataskaitiniais metais Bendrija vykdė šias pagrindines veiklas: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Rinkos sąlygos buvo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o tai turėjo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įtakos pajamoms ir pelningumui.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Bendros metinės pajamos sudarė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EUR, grynasis pelnas (nuostolis)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 Palyginti su praėjusiais metais, pajamos pasikeitė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%, o pelnas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Apskaita tvarkoma vadovaujantis Lietuvos Respublikos buhalterinės apskaitos įstatymu, Verslo apskaitos standartais ir susijusiais metodiniais nurodymais.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 finansinių ataskaitų parengimą atsakinga Bendrijos vadovybė. Apskaitos registrai tvarkomi naudojant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apskaitos programą.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Valiuta: visos sumos pateikiamos eurais (EUR). Operacijos užsienio valiuta perskaičiuojamos pagal operacijos dienos Lietuvos banko kursą.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Ilgalaikio materialiojo turto pripažinimo riba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 Nusidėvėjimas skaičiuojamas tiesioginiu būdu, taikant šiuos metinius normatyvus: pastatams – 4 %, mašinoms ir įrenginiams – 10 %, transporto priemonėms – 20 %, IT įrangai – 33 %.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Atsargos apskaitoje registruojamos mažesniąja savikainos arba grynosios realizavimo vertės suma. Savikaina nustatoma FIFO metodu.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Pajamos pripažįstamos, kai rizika ir nauda perduota pirkėjui, pajamas galima patikimai įvertinti ir tikėtina ekonominės naudos gavimo tikimybė.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Finansinis turtas klasifikuojamas kaip laikomas iki išpirkimo, skirtas parduoti arba gautinos sumos, atsižvelgiant į valdymo ketinimus.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Atidėjiniai sudaromi, kai Bendrija turi teisinę ar faktinę prievolę, tikėtina išteklių nutekėjimo rizika ir galima patikimai įvertinti įsipareigojimo sumą.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Finansinių ataskaitų rinkinį sudaro balansas, pelno (nuostolių) ataskaita, nuosavo kapitalo pokyčių ataskaita, pinigų srautų ataskaita ir šis aiškinamasis raštas. Ataskaitos parengtos taikant veiklos tęstinumo principą.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Materialiojo turto likutinė vertė ataskaitinio laikotarpio pabaigoje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EUR, iš jos pastatų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EUR, įrenginių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EUR, transporto priemonių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Pagrindiniai einamųjų metų ilgalaikio turto pokyčiai: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Įsigyta: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Nusidėvėjimas: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Nurašyta / parduota: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Nematerialiojo turto likutinė vertė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(programinė įranga, licencijos).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Trumpalaikių finansinių investicijų vertė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(depozitai, terminuoti indėliai).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Pirkėjų skolos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EUR, iš kurių per 30 d. neapmokėta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Atsargų savikainos struktūra: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Žaliavos ir medžiagos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Užbaigta produkcija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Prekės perpardavimui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 laikotarpį pripažintas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atsargų vertės sumažėjimas, apskaitoje pateiktas kaip sąnaudos.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Bendrijos įstatinis kapitalas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EUR, suformuotas iš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narių įnašų.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Rezervai: privalomasis rezervas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EUR, kiti rezervai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Nepaskirstytasis rezultatas ataskaitinio laikotarpio pabaigoje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Trumpalaikiai įsipareigojimai sudaro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EUR, iš jų: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Skolos tiekėjams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Paskola nariams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Mokesčių ir socialinio draudimo įsipareigojimai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Ilgalaikiai įsipareigojimai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EUR, pagrindinė banko paskola, kurios galutinis grąžinimo terminas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Pardavimo pajamos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Paslaugų pajamos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Kitos pajamos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Sąnaudos pagal rūšis: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Žaliavų ir prekių savikaina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Darbo užmokestis ir socialinis draudimas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Nuomos ir komunalinės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Administracinės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Kitos veiklos sąnaudos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Finansinės ir investicinės veiklos rezultatas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Pelnas prieš apmokestinimą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EUR, pelno mokestis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EUR, grynasis pelnas (nuostolis)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Grynųjų pinigų likutis laikotarpio pradžioje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EUR, pabaigoje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Pagrindinės veiklos pinigų srautas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Investicinės veiklos pinigų srautas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Finansinės veiklos pinigų srautas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Kredito rizika valdoma vertinant pirkėjų mokumą ir nustatant kredito limitus. Maksimali kredito rizika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Palūkanų rizika susijusi su kintamų palūkanų banko paskola; rizika mažinama periodiškai peržiūrint finansavimo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Likvidumo rizika valdoma prognozuojant pinigų srautus ir palaikant pakankamą grynųjų pinigų rezervą.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 ataskaitinį laikotarpį Bendrija sudarė šiuos reikšmingus sandorius su susijusiomis šalimis: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Pardavimai susijusioms šalims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Pirkimai iš susijusių šalių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Gautos / paskolintos sumos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Visi sandoriai sudaryti rinkos kainomis ir sąlygomis.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Pagrindiniai įvykiai po balansinės datos ir iki aiškinamojo rašto pasirašymo: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Šie įvykiai neturi reikšmingo poveikio Bendrijos finansinei būklei, todėl finansinės ataskaitos nekoreguotos.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Bendrijos vadovybė neturi pagrindo abejoti veiklos tęstinumu artimiausiu laikotarpiu (ne trumpesniu kaip 12 mėn. po finansinių ataskaitų datos).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Vadovybė patvirtina, kad šiame aiškinamajame rašte pateikta informacija yra teisinga, išsami ir atitinka Bendrijos apskaitos registruose esančius duomenis.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Parašas: __________________  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Buhalteris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Parašas: __________________  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Aiškinamasis raštas sudarytas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