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Akto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Perdavėjas</w:t>
      </w:r>
      <w:r>
        <w:t xml:space="preserve"> </w:t>
      </w:r>
      <w:r>
        <w:rPr>
          <w:rFonts w:ascii="Times New Roman" w:hAnsi="Times New Roman"/>
          <w:sz w:val="22"/>
        </w:rPr>
        <w:t>– juridinio ar fizinio asmens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registracijos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Perėmėjas</w:t>
      </w:r>
      <w:r>
        <w:t xml:space="preserve"> </w:t>
      </w:r>
      <w:r>
        <w:rPr>
          <w:rFonts w:ascii="Times New Roman" w:hAnsi="Times New Roman"/>
          <w:sz w:val="22"/>
        </w:rPr>
        <w:t>– juridinio ar fizinio asmens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registracijos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Turto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Kiekis: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Serijos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Būklė: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Turto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Kiekis: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Serijos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Būklė: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Turto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Kiekis: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Serijos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Būklė: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Turto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Kiekis: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Serijos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Būklė: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 Turto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Kiekis: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Serijos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Būklė: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2.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3.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Perdavėjas patvirtina, kad perduodamas turtas jam nuosavybės teise priklauso, nėra areštuotas ir neįkeistas.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Perdavėjas garantuoja, kad turto techninė ir funkcinė būklė atitinka pateiktą aprašą.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Perėmėjas patvirtina, kad turtą apžiūrėjo ir pretenzijų dėl turto kiekio, kokybės bei būklės neturi.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 akto pasirašymo momento turtas ir su juo susijusi rizika pereina Perėmėjui. Perdavėjas neatsako už vėliau atsiradusius gedimus, išskyrus tuos, kurie buvo tyčia nuslėpti.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Visi ginčai, kylantys iš šio akto ar su juo susiję, sprendžiami derybomis, o nesusitarus – Lietuvos Respublikos teisės aktų nustatyta tvarka kompetentingame teisme.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Perdavėjas: _____________________________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Perėmėjas: _____________________________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Turto nuotraukos (jei taikoma). 2. Garantiniai dokumentai (jei taikoma). 3. Kiti susiję dokumentai.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