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Aktas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Pardavėjas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Pirkėjas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Toliau kartu – Šalys, atskirai – Pardavėjas ir Pirkėjas.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Pardavėjas perduoda, o Pirkėjas priima šį turtą: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Markė / modelis: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Pagaminimo metai: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Identifikavimo Nr. (VIN / serija):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Registracijos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Kiekis: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Komplektacija: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Naudojimo paskirtis: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(Sąrašą prireikus galima tęsti atskirose lapuose.)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Iki perdavimo turtas naudotas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m., bendras nusidėvėjimas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%, paskutinis techninis aptarnavimas atliktas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Matomi defektai ir trūkumai: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Pardavėjas neatsako už defektus, apie kuriuos Pirkėjas raštu informuotas šiame akte.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Pardavėjas perduoda Pirkėjui šiuos dokumentus: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Nuosavybės teisę patvirtinantis dokumentas: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(kopija / originalas).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Eksploatavimo vadovas: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Garantinis talonas: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galioja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4) Kiti dokumentai: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Priedai yra neatskiriama šio akto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Pardavėjas patvirtina, kad turtas nėra apsunkintas trečiųjų asmenų teisėmis, nėra areštuotas, įkeistas ar kitaip apribotas, taip pat nėra įsiskolinimų mokesčių ar kitų mokėjimų.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Pardavėjas suteikia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 garantiją paslėptiems defektams, atsiradusiems ne dėl Pirkėjo kaltės. Garantija netaikoma natūraliam nusidėvėjimui.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 akto pasirašymo momento atsitiktinės žūties rizika ir nuosavybės teisė į turtą pereina Pirkėjui.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Perdavimas atliktas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val.,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Pirkėjas patikrino turto būklę ir komplektaciją, pastabų nėra / pastabos: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 nuosavybės teisės perėmimu susijusius mokesčius moka: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Išlaidos, patirtos iki perdavimo dienos, lieka Pardavėjo atsakomybė; po perdavimo – Pirkėjo atsakomybė.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įsipareigoja neatskleisti trečiosioms šalims šiame akte gautos informacijos, išskyrus Lietuvos Respublikos teisės aktuose numatytus atvejus ar kompetentingų institucijų reikalavimus.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tvarko asmens duomenis tik šio akto vykdymo tikslais, vadovaudamosi Bendruoju duomenų apsaugos reglamentu (BDAR) ir Lietuvos Respublikos teisės aktais.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Ginčai pirmiausia sprendžiami derybomis. Jei susitarimas nepasiekiamas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dienų, ginčas perduodamas nagrinėti Lietuvos Respublikos teismui pagal Pardavėjo buveinės adresą.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Aktas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vienodos juridinės galios egzemplioriais,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Aktas įsigalioja nuo pasirašymo momento.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Visos ankstesnės žodinės ir rašytinės Šalių sąlygos dėl turto perdavimo netenka galios nuo šio akto pasirašymo.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Pardavėjas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Atstovo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Pirkėjas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Atstovo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(Jei reikia, sąrašas gali būti tęsiamas.)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Šiam aktui taikomi ir jis aiškinamas pagal Lietuvos Respublikos teisės aktus, įskaitant Lietuvos Respublikos civilinį kodeksą.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