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Švietimo įstaigos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Grupė / klasė: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Vaikų amžius: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Savaitė (nuo–iki):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Plano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Planą parengė (vardas,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Versijos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Savaitės tema: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Kontekstas (aktualijos, metų laikas, projektai):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Bendrieji tikslai: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Išmatuojami pasiekimų rodikliai: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Socialinė, emocinė ir sveikos gyvensenos kompetencija: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Kūrybiškumo ir kultūrinė kompetencija: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Pažinimo kompetencija: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Skaitmeninė kompetencija: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Pilietiškumo kompetencija: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Mokymosi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Technologijos ir įranga: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Aplinkos ir lauko ištekliai: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Pirmadienis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kryptis: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Metodai ir strategijos: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Naudotos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Įsivertinimo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Antradienis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kryptis: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Metodai ir strategijos: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Naudotos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Įsivertinimo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Trečiadienis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kryptis: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Metodai ir strategijos: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Naudotos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Įsivertinimo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Ketvirtadienis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kryptis: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Metodai ir strategijos: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Naudotos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Įsivertinimo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Penktadienis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kryptis: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Metodai ir strategijos: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Naudotos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Įsivertinimo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Stebėjimo metodai (tiesioginis stebėjimas, pokalbiai, darbų analizė):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Vertinimo kriterijai ir skalė: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Planuojami atnaujinimai pagal vertinimo rezultatus: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Vaikų, turinčių skirtingų poreikių, ypatumai: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Pritaikytos strategijos ir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Informavimo formos (susitikimai, el. dienynas, naujienlaiškiai):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Tėvų įsitraukimo galimybės: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Galimos rizikos (fizinės, psichologinės):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Saugos priemonės ir prevencija: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Literatūra, šaltiniai, nuorodos: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Skaitmeninės priemonės / programos: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Planas suderintas su (pareigybė, 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Suderinimo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Patvirtino (pareigybė, 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Pastaba / papildoma informacija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Pastaba / papildoma informacija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Pastaba / papildoma informacija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